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D96925" w:rsidRDefault="00175783" w:rsidP="00175783">
      <w:pPr>
        <w:jc w:val="center"/>
        <w:rPr>
          <w:szCs w:val="24"/>
        </w:rPr>
      </w:pPr>
    </w:p>
    <w:p w:rsidR="00175783" w:rsidRPr="00D96925" w:rsidRDefault="00175783" w:rsidP="00175783">
      <w:pPr>
        <w:jc w:val="center"/>
        <w:rPr>
          <w:szCs w:val="24"/>
        </w:rPr>
      </w:pPr>
    </w:p>
    <w:p w:rsidR="00175783" w:rsidRPr="00D96925" w:rsidRDefault="00175783" w:rsidP="00175783">
      <w:pPr>
        <w:jc w:val="center"/>
        <w:rPr>
          <w:szCs w:val="24"/>
        </w:rPr>
      </w:pPr>
    </w:p>
    <w:p w:rsidR="000478A7" w:rsidRPr="00D96925" w:rsidRDefault="000478A7" w:rsidP="000478A7">
      <w:pPr>
        <w:jc w:val="center"/>
        <w:rPr>
          <w:b/>
          <w:szCs w:val="24"/>
        </w:rPr>
      </w:pPr>
      <w:r w:rsidRPr="00D96925">
        <w:rPr>
          <w:b/>
          <w:szCs w:val="24"/>
        </w:rPr>
        <w:t>Roman Empire Essay</w:t>
      </w:r>
    </w:p>
    <w:p w:rsidR="00175783" w:rsidRPr="00D96925" w:rsidRDefault="00175783" w:rsidP="00175783">
      <w:pPr>
        <w:jc w:val="center"/>
        <w:rPr>
          <w:szCs w:val="24"/>
        </w:rPr>
      </w:pPr>
    </w:p>
    <w:p w:rsidR="00175783" w:rsidRPr="00D96925" w:rsidRDefault="00175783" w:rsidP="00175783">
      <w:pPr>
        <w:jc w:val="center"/>
        <w:rPr>
          <w:szCs w:val="24"/>
        </w:rPr>
      </w:pPr>
    </w:p>
    <w:p w:rsidR="00175783" w:rsidRPr="00D96925" w:rsidRDefault="00175783" w:rsidP="00175783">
      <w:pPr>
        <w:jc w:val="center"/>
        <w:rPr>
          <w:szCs w:val="24"/>
        </w:rPr>
      </w:pPr>
    </w:p>
    <w:p w:rsidR="000478A7" w:rsidRPr="00D96925" w:rsidRDefault="000478A7" w:rsidP="000478A7">
      <w:pPr>
        <w:widowControl w:val="0"/>
        <w:autoSpaceDE w:val="0"/>
        <w:autoSpaceDN w:val="0"/>
        <w:adjustRightInd w:val="0"/>
        <w:jc w:val="center"/>
        <w:rPr>
          <w:szCs w:val="24"/>
        </w:rPr>
      </w:pPr>
      <w:r w:rsidRPr="00D96925">
        <w:rPr>
          <w:szCs w:val="24"/>
        </w:rPr>
        <w:t>Student’s Name</w:t>
      </w:r>
    </w:p>
    <w:p w:rsidR="000478A7" w:rsidRPr="00D96925" w:rsidRDefault="000478A7" w:rsidP="000478A7">
      <w:pPr>
        <w:autoSpaceDE w:val="0"/>
        <w:autoSpaceDN w:val="0"/>
        <w:adjustRightInd w:val="0"/>
        <w:jc w:val="center"/>
        <w:rPr>
          <w:szCs w:val="24"/>
        </w:rPr>
      </w:pPr>
      <w:r w:rsidRPr="00D96925">
        <w:rPr>
          <w:szCs w:val="24"/>
        </w:rPr>
        <w:t>Department, University</w:t>
      </w:r>
    </w:p>
    <w:p w:rsidR="000478A7" w:rsidRPr="00D96925" w:rsidRDefault="000478A7" w:rsidP="000478A7">
      <w:pPr>
        <w:autoSpaceDE w:val="0"/>
        <w:autoSpaceDN w:val="0"/>
        <w:adjustRightInd w:val="0"/>
        <w:jc w:val="center"/>
        <w:rPr>
          <w:szCs w:val="24"/>
        </w:rPr>
      </w:pPr>
      <w:r w:rsidRPr="00D96925">
        <w:rPr>
          <w:szCs w:val="24"/>
        </w:rPr>
        <w:t>Course Number and Name</w:t>
      </w:r>
    </w:p>
    <w:p w:rsidR="000478A7" w:rsidRPr="00D96925" w:rsidRDefault="000478A7" w:rsidP="000478A7">
      <w:pPr>
        <w:autoSpaceDE w:val="0"/>
        <w:autoSpaceDN w:val="0"/>
        <w:adjustRightInd w:val="0"/>
        <w:jc w:val="center"/>
        <w:rPr>
          <w:szCs w:val="24"/>
        </w:rPr>
      </w:pPr>
      <w:r w:rsidRPr="00D96925">
        <w:rPr>
          <w:szCs w:val="24"/>
        </w:rPr>
        <w:t>Instructor’s Name</w:t>
      </w:r>
    </w:p>
    <w:p w:rsidR="000478A7" w:rsidRPr="00D96925" w:rsidRDefault="000478A7" w:rsidP="000478A7">
      <w:pPr>
        <w:jc w:val="center"/>
        <w:rPr>
          <w:szCs w:val="24"/>
        </w:rPr>
      </w:pPr>
      <w:r w:rsidRPr="00D96925">
        <w:rPr>
          <w:szCs w:val="24"/>
        </w:rPr>
        <w:t>Date</w:t>
      </w:r>
    </w:p>
    <w:p w:rsidR="0022765A" w:rsidRPr="00D96925" w:rsidRDefault="00175783" w:rsidP="00D96925">
      <w:pPr>
        <w:spacing w:after="0"/>
        <w:jc w:val="center"/>
        <w:rPr>
          <w:szCs w:val="24"/>
        </w:rPr>
      </w:pPr>
      <w:r w:rsidRPr="00D96925">
        <w:rPr>
          <w:szCs w:val="24"/>
        </w:rPr>
        <w:br w:type="page"/>
      </w:r>
    </w:p>
    <w:p w:rsidR="00D96925" w:rsidRPr="00D96925" w:rsidRDefault="00D96925" w:rsidP="00D96925">
      <w:pPr>
        <w:jc w:val="center"/>
        <w:rPr>
          <w:b/>
          <w:szCs w:val="24"/>
        </w:rPr>
      </w:pPr>
      <w:r w:rsidRPr="00D96925">
        <w:rPr>
          <w:b/>
          <w:szCs w:val="24"/>
          <w:shd w:val="clear" w:color="auto" w:fill="FFFFFF"/>
        </w:rPr>
        <w:lastRenderedPageBreak/>
        <w:t>Metrics</w:t>
      </w:r>
    </w:p>
    <w:p w:rsidR="00D96925" w:rsidRPr="00D96925" w:rsidRDefault="00D96925" w:rsidP="00D96925">
      <w:pPr>
        <w:ind w:firstLine="567"/>
        <w:rPr>
          <w:szCs w:val="24"/>
        </w:rPr>
      </w:pPr>
      <w:r w:rsidRPr="00D96925">
        <w:rPr>
          <w:szCs w:val="24"/>
        </w:rPr>
        <w:t>I'll be looking into my old workplace, CSL Plasma, for this discussion. CSL Plasma is a company that runs on plasma donations to support healthcare and biopharmaceutical research. Managers would highlight specific KPIs that had been identified or improved each month. The average donation time sticks out in particular. This begins when a donor sits down in a bed and stops when the donation bottle is removed from the machine</w:t>
      </w:r>
      <w:r>
        <w:rPr>
          <w:szCs w:val="24"/>
        </w:rPr>
        <w:t xml:space="preserve"> (</w:t>
      </w:r>
      <w:r w:rsidRPr="00D96925">
        <w:rPr>
          <w:color w:val="222222"/>
          <w:szCs w:val="24"/>
          <w:shd w:val="clear" w:color="auto" w:fill="FFFFFF"/>
        </w:rPr>
        <w:t>Cho</w:t>
      </w:r>
      <w:r>
        <w:rPr>
          <w:color w:val="222222"/>
          <w:szCs w:val="24"/>
          <w:shd w:val="clear" w:color="auto" w:fill="FFFFFF"/>
        </w:rPr>
        <w:t xml:space="preserve"> et al., 2016)</w:t>
      </w:r>
      <w:r w:rsidRPr="00D96925">
        <w:rPr>
          <w:szCs w:val="24"/>
        </w:rPr>
        <w:t>. This measure is significant at the center since the faster contributions are processed, the more beds are available, and the reason for expanding the center's size or adding a new donation station in the region. Because qualified donors may only be accepted within a specific distance from the center, generally 15-20 miles, expansion is critical for donation centers.</w:t>
      </w:r>
    </w:p>
    <w:p w:rsidR="00D96925" w:rsidRPr="00D96925" w:rsidRDefault="00D96925" w:rsidP="00D96925">
      <w:pPr>
        <w:ind w:firstLine="567"/>
        <w:rPr>
          <w:szCs w:val="24"/>
        </w:rPr>
      </w:pPr>
      <w:r w:rsidRPr="00D96925">
        <w:rPr>
          <w:szCs w:val="24"/>
        </w:rPr>
        <w:t>Weight draw, body hydration, fatty lipids, venipuncture location, incorrect machine setup, and other variables might affect donation times. Donations can be stopped early if a donor gets ill, a venipuncture fails, a disruptive behavior occurs, or if the final donor of the day arrives. All "poked" donors must be paid for their time.</w:t>
      </w:r>
    </w:p>
    <w:p w:rsidR="00175783" w:rsidRPr="00D96925" w:rsidRDefault="00D96925" w:rsidP="00D96925">
      <w:pPr>
        <w:ind w:firstLine="567"/>
        <w:rPr>
          <w:szCs w:val="24"/>
        </w:rPr>
      </w:pPr>
      <w:r w:rsidRPr="00D96925">
        <w:rPr>
          <w:szCs w:val="24"/>
        </w:rPr>
        <w:t>To depend on this measure for ethical reporting, it must align metrics for the number of donors who visit the center and those who finish a contribution in its whole. The way measurements are perceived can be influenced by biases in the data obtained. We can detect possible wrongdoing if we can relate compliance activities to company goals. The amount of plasma collected in each bottle is weighed, quantified, and packed before being sent to a laboratory for additional processing to get the cleanest form of plasma that may be utilized</w:t>
      </w:r>
      <w:r>
        <w:rPr>
          <w:szCs w:val="24"/>
        </w:rPr>
        <w:t xml:space="preserve"> </w:t>
      </w:r>
      <w:r>
        <w:rPr>
          <w:szCs w:val="24"/>
        </w:rPr>
        <w:t>(</w:t>
      </w:r>
      <w:r w:rsidRPr="00D96925">
        <w:rPr>
          <w:color w:val="222222"/>
          <w:szCs w:val="24"/>
          <w:shd w:val="clear" w:color="auto" w:fill="FFFFFF"/>
        </w:rPr>
        <w:t>Cho</w:t>
      </w:r>
      <w:r>
        <w:rPr>
          <w:color w:val="222222"/>
          <w:szCs w:val="24"/>
          <w:shd w:val="clear" w:color="auto" w:fill="FFFFFF"/>
        </w:rPr>
        <w:t xml:space="preserve"> et al., 2016)</w:t>
      </w:r>
      <w:r w:rsidRPr="00D96925">
        <w:rPr>
          <w:szCs w:val="24"/>
        </w:rPr>
        <w:t>. The quantity of plasma being sent out must be tracked using the donation site's operational metrics</w:t>
      </w:r>
      <w:bookmarkStart w:id="0" w:name="_GoBack"/>
      <w:bookmarkEnd w:id="0"/>
      <w:r w:rsidRPr="00D96925">
        <w:rPr>
          <w:szCs w:val="24"/>
        </w:rPr>
        <w:t xml:space="preserve">. We require 1200 plasma donations to treat one hemophilia patient, and a </w:t>
      </w:r>
      <w:r w:rsidRPr="00D96925">
        <w:rPr>
          <w:szCs w:val="24"/>
        </w:rPr>
        <w:lastRenderedPageBreak/>
        <w:t>loss count in numbers might cause a patient's care plan to be disrupted. Every donation center should have an audit team that ensures compliance training and regulation regularly. External audits are conducted on occasion and might reveal wrongdoing or noncompliance.</w:t>
      </w:r>
    </w:p>
    <w:p w:rsidR="00D96925" w:rsidRPr="00D96925" w:rsidRDefault="00D96925">
      <w:pPr>
        <w:rPr>
          <w:szCs w:val="24"/>
        </w:rPr>
      </w:pPr>
      <w:r w:rsidRPr="00D96925">
        <w:rPr>
          <w:szCs w:val="24"/>
        </w:rPr>
        <w:br w:type="page"/>
      </w:r>
    </w:p>
    <w:p w:rsidR="00D96925" w:rsidRPr="00D96925" w:rsidRDefault="00D96925" w:rsidP="00D96925">
      <w:pPr>
        <w:jc w:val="center"/>
        <w:rPr>
          <w:b/>
          <w:szCs w:val="24"/>
        </w:rPr>
      </w:pPr>
      <w:r w:rsidRPr="00D96925">
        <w:rPr>
          <w:b/>
          <w:szCs w:val="24"/>
        </w:rPr>
        <w:lastRenderedPageBreak/>
        <w:t>References</w:t>
      </w:r>
    </w:p>
    <w:p w:rsidR="00D96925" w:rsidRPr="00D96925" w:rsidRDefault="00D96925" w:rsidP="00D96925">
      <w:pPr>
        <w:ind w:left="567" w:hanging="567"/>
        <w:rPr>
          <w:szCs w:val="24"/>
        </w:rPr>
      </w:pPr>
      <w:r w:rsidRPr="00D96925">
        <w:rPr>
          <w:color w:val="222222"/>
          <w:szCs w:val="24"/>
          <w:shd w:val="clear" w:color="auto" w:fill="FFFFFF"/>
        </w:rPr>
        <w:t>Cho, J. H., Hurley, P. M., &amp; Xu, S. (2016, November). Metrics and measurement of trustworthy systems. In </w:t>
      </w:r>
      <w:r w:rsidRPr="00D96925">
        <w:rPr>
          <w:i/>
          <w:iCs/>
          <w:color w:val="222222"/>
          <w:szCs w:val="24"/>
          <w:shd w:val="clear" w:color="auto" w:fill="FFFFFF"/>
        </w:rPr>
        <w:t>MILCOM 2016-2016 IEEE Military Communications Conference</w:t>
      </w:r>
      <w:r w:rsidRPr="00D96925">
        <w:rPr>
          <w:color w:val="222222"/>
          <w:szCs w:val="24"/>
          <w:shd w:val="clear" w:color="auto" w:fill="FFFFFF"/>
        </w:rPr>
        <w:t> (pp. 1237-1242). IEEE.</w:t>
      </w:r>
    </w:p>
    <w:sectPr w:rsidR="00D96925" w:rsidRPr="00D96925"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6428" w:rsidRDefault="00F66428" w:rsidP="00790ECD">
      <w:pPr>
        <w:spacing w:after="0" w:line="240" w:lineRule="auto"/>
      </w:pPr>
      <w:r>
        <w:separator/>
      </w:r>
    </w:p>
  </w:endnote>
  <w:endnote w:type="continuationSeparator" w:id="0">
    <w:p w:rsidR="00F66428" w:rsidRDefault="00F66428"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6428" w:rsidRDefault="00F66428" w:rsidP="00790ECD">
      <w:pPr>
        <w:spacing w:after="0" w:line="240" w:lineRule="auto"/>
      </w:pPr>
      <w:r>
        <w:separator/>
      </w:r>
    </w:p>
  </w:footnote>
  <w:footnote w:type="continuationSeparator" w:id="0">
    <w:p w:rsidR="00F66428" w:rsidRDefault="00F66428"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3A2F85">
        <w:pPr>
          <w:pStyle w:val="Header"/>
          <w:jc w:val="right"/>
        </w:pPr>
        <w:r>
          <w:tab/>
        </w:r>
        <w:r>
          <w:tab/>
        </w:r>
        <w:r w:rsidR="00052DA2">
          <w:fldChar w:fldCharType="begin"/>
        </w:r>
        <w:r w:rsidR="00052DA2">
          <w:instrText xml:space="preserve"> PAGE   \* MERGEFORMAT </w:instrText>
        </w:r>
        <w:r w:rsidR="00052DA2">
          <w:fldChar w:fldCharType="separate"/>
        </w:r>
        <w:r w:rsidR="00D96925">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EE2526">
    <w:pPr>
      <w:pStyle w:val="Header"/>
    </w:pPr>
    <w:r>
      <w:tab/>
    </w:r>
    <w:r>
      <w:tab/>
    </w:r>
    <w:r w:rsidR="00D5124F">
      <w:t xml:space="preserve">                                                                       </w:t>
    </w:r>
    <w:r w:rsidR="00D72294">
      <w:t>1</w:t>
    </w:r>
    <w:r w:rsidR="00D5124F">
      <w:t xml:space="preserve">                   </w:t>
    </w:r>
    <w:r w:rsidR="00D72294">
      <w:t xml:space="preserve">                         </w:t>
    </w:r>
    <w:r w:rsidR="00644DC6">
      <w:tab/>
    </w:r>
    <w:r w:rsidR="00644DC6">
      <w:tab/>
    </w:r>
    <w:r w:rsidR="00644DC6">
      <w:tab/>
    </w:r>
    <w:r w:rsidR="00644DC6">
      <w:tab/>
    </w:r>
    <w:r w:rsidR="00644DC6">
      <w:tab/>
    </w:r>
    <w:r w:rsidR="00644DC6">
      <w:tab/>
    </w:r>
    <w:r w:rsidR="003A2F85">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478A7"/>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2765A"/>
    <w:rsid w:val="00257262"/>
    <w:rsid w:val="002572E5"/>
    <w:rsid w:val="002A0673"/>
    <w:rsid w:val="002E0135"/>
    <w:rsid w:val="002E3683"/>
    <w:rsid w:val="002E6FB0"/>
    <w:rsid w:val="002F01C1"/>
    <w:rsid w:val="00300376"/>
    <w:rsid w:val="003771D7"/>
    <w:rsid w:val="00386290"/>
    <w:rsid w:val="0039592B"/>
    <w:rsid w:val="003A2F85"/>
    <w:rsid w:val="003B6232"/>
    <w:rsid w:val="003E7231"/>
    <w:rsid w:val="003F55C0"/>
    <w:rsid w:val="004B10DF"/>
    <w:rsid w:val="004C5BAC"/>
    <w:rsid w:val="004C7748"/>
    <w:rsid w:val="004E53B8"/>
    <w:rsid w:val="00506140"/>
    <w:rsid w:val="00530D21"/>
    <w:rsid w:val="00571E8E"/>
    <w:rsid w:val="005750A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9F1896"/>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2294"/>
    <w:rsid w:val="00D77F2F"/>
    <w:rsid w:val="00D86418"/>
    <w:rsid w:val="00D96925"/>
    <w:rsid w:val="00DC7D4B"/>
    <w:rsid w:val="00E04B0E"/>
    <w:rsid w:val="00E642CD"/>
    <w:rsid w:val="00EC0B96"/>
    <w:rsid w:val="00EC10BD"/>
    <w:rsid w:val="00ED2214"/>
    <w:rsid w:val="00ED4330"/>
    <w:rsid w:val="00EE2526"/>
    <w:rsid w:val="00F4000A"/>
    <w:rsid w:val="00F52F80"/>
    <w:rsid w:val="00F563CA"/>
    <w:rsid w:val="00F613C7"/>
    <w:rsid w:val="00F6226F"/>
    <w:rsid w:val="00F65DC6"/>
    <w:rsid w:val="00F66428"/>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C98AA"/>
  <w15:docId w15:val="{DAA7C547-3DE4-4015-86DE-C46FDC0AE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22765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42BD68-8A4E-43F9-9F0B-96E776786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4</Pages>
  <Words>368</Words>
  <Characters>2100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ken</cp:lastModifiedBy>
  <cp:revision>3</cp:revision>
  <dcterms:created xsi:type="dcterms:W3CDTF">2021-10-07T17:33:00Z</dcterms:created>
  <dcterms:modified xsi:type="dcterms:W3CDTF">2021-10-08T04:02:00Z</dcterms:modified>
</cp:coreProperties>
</file>